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CB47" w14:textId="43B89F7D" w:rsidR="00354250" w:rsidRDefault="00387583" w:rsidP="00387583">
      <w:pPr>
        <w:spacing w:after="196"/>
        <w:jc w:val="center"/>
      </w:pPr>
      <w:r>
        <w:rPr>
          <w:noProof/>
        </w:rPr>
        <w:drawing>
          <wp:inline distT="0" distB="0" distL="0" distR="0" wp14:anchorId="5E5AC5D0" wp14:editId="5F57D662">
            <wp:extent cx="3590925" cy="838200"/>
            <wp:effectExtent l="0" t="0" r="9525" b="0"/>
            <wp:docPr id="152176255" name="Picture 1" descr="A 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letters on a black background&#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p w14:paraId="7DC939EE" w14:textId="182C5428" w:rsidR="00354250" w:rsidRDefault="00B006DB">
      <w:pPr>
        <w:ind w:left="10" w:right="10" w:hanging="10"/>
        <w:jc w:val="center"/>
        <w:rPr>
          <w:rFonts w:ascii="Poppins" w:hAnsi="Poppins" w:cs="Poppins"/>
          <w:b/>
          <w:sz w:val="28"/>
          <w:szCs w:val="28"/>
        </w:rPr>
      </w:pPr>
      <w:r>
        <w:rPr>
          <w:rFonts w:ascii="Poppins" w:hAnsi="Poppins" w:cs="Poppins"/>
          <w:b/>
          <w:sz w:val="28"/>
          <w:szCs w:val="28"/>
        </w:rPr>
        <w:t>TRUSTEE</w:t>
      </w:r>
      <w:r w:rsidR="00971727" w:rsidRPr="002D71B0">
        <w:rPr>
          <w:rFonts w:ascii="Poppins" w:hAnsi="Poppins" w:cs="Poppins"/>
          <w:b/>
          <w:sz w:val="28"/>
          <w:szCs w:val="28"/>
        </w:rPr>
        <w:t xml:space="preserve"> </w:t>
      </w:r>
    </w:p>
    <w:p w14:paraId="4C328774" w14:textId="2315E5F6" w:rsidR="00354250" w:rsidRPr="002D71B0" w:rsidRDefault="00B006DB" w:rsidP="00387583">
      <w:pPr>
        <w:spacing w:after="83"/>
        <w:jc w:val="center"/>
        <w:rPr>
          <w:rFonts w:ascii="Poppins" w:hAnsi="Poppins" w:cs="Poppins"/>
          <w:b/>
          <w:bCs/>
          <w:sz w:val="32"/>
          <w:szCs w:val="32"/>
        </w:rPr>
      </w:pPr>
      <w:r>
        <w:rPr>
          <w:rFonts w:ascii="Poppins" w:hAnsi="Poppins" w:cs="Poppins"/>
          <w:b/>
          <w:bCs/>
          <w:sz w:val="32"/>
          <w:szCs w:val="32"/>
        </w:rPr>
        <w:t>ROLE</w:t>
      </w:r>
      <w:r w:rsidR="00387583" w:rsidRPr="002D71B0">
        <w:rPr>
          <w:rFonts w:ascii="Poppins" w:hAnsi="Poppins" w:cs="Poppins"/>
          <w:b/>
          <w:bCs/>
          <w:sz w:val="32"/>
          <w:szCs w:val="32"/>
        </w:rPr>
        <w:t xml:space="preserve"> DESCRIPTION</w:t>
      </w:r>
    </w:p>
    <w:p w14:paraId="32295AEF" w14:textId="77777777" w:rsidR="00387583" w:rsidRPr="002D71B0" w:rsidRDefault="00387583" w:rsidP="00387583">
      <w:pPr>
        <w:spacing w:after="83"/>
        <w:jc w:val="center"/>
        <w:rPr>
          <w:rFonts w:ascii="Poppins" w:hAnsi="Poppins" w:cs="Poppins"/>
          <w:b/>
          <w:bCs/>
        </w:rPr>
      </w:pPr>
    </w:p>
    <w:p w14:paraId="498346C1" w14:textId="5111A26C" w:rsidR="00354250" w:rsidRPr="002D71B0" w:rsidRDefault="00000000">
      <w:pPr>
        <w:spacing w:after="10" w:line="250" w:lineRule="auto"/>
        <w:ind w:left="-5" w:hanging="10"/>
        <w:rPr>
          <w:rFonts w:ascii="Poppins" w:hAnsi="Poppins" w:cs="Poppins"/>
        </w:rPr>
      </w:pPr>
      <w:r w:rsidRPr="002D71B0">
        <w:rPr>
          <w:rFonts w:ascii="Poppins" w:hAnsi="Poppins" w:cs="Poppins"/>
          <w:b/>
        </w:rPr>
        <w:t>Role Title:</w:t>
      </w:r>
      <w:r w:rsidRPr="002D71B0">
        <w:rPr>
          <w:rFonts w:ascii="Poppins" w:hAnsi="Poppins" w:cs="Poppins"/>
        </w:rPr>
        <w:t xml:space="preserve">  </w:t>
      </w:r>
      <w:r w:rsidR="00B006DB">
        <w:rPr>
          <w:rFonts w:ascii="Poppins" w:hAnsi="Poppins" w:cs="Poppins"/>
        </w:rPr>
        <w:t>Trustee</w:t>
      </w:r>
      <w:r w:rsidRPr="002D71B0">
        <w:rPr>
          <w:rFonts w:ascii="Poppins" w:hAnsi="Poppins" w:cs="Poppins"/>
        </w:rPr>
        <w:t xml:space="preserve"> </w:t>
      </w:r>
    </w:p>
    <w:p w14:paraId="0AC05948" w14:textId="046357C7" w:rsidR="00354250" w:rsidRPr="002D71B0" w:rsidRDefault="00354250">
      <w:pPr>
        <w:spacing w:after="0"/>
        <w:rPr>
          <w:rFonts w:ascii="Poppins" w:hAnsi="Poppins" w:cs="Poppins"/>
        </w:rPr>
      </w:pPr>
    </w:p>
    <w:p w14:paraId="102DC5E6" w14:textId="4C6B7A24" w:rsidR="00354250" w:rsidRPr="002D71B0" w:rsidRDefault="00000000">
      <w:pPr>
        <w:spacing w:after="5" w:line="250" w:lineRule="auto"/>
        <w:ind w:left="10" w:hanging="10"/>
        <w:rPr>
          <w:rFonts w:ascii="Poppins" w:hAnsi="Poppins" w:cs="Poppins"/>
        </w:rPr>
      </w:pPr>
      <w:r w:rsidRPr="002D71B0">
        <w:rPr>
          <w:rFonts w:ascii="Poppins" w:hAnsi="Poppins" w:cs="Poppins"/>
          <w:b/>
        </w:rPr>
        <w:t>Postholder Reports to</w:t>
      </w:r>
      <w:r w:rsidR="00961619" w:rsidRPr="002D71B0">
        <w:rPr>
          <w:rFonts w:ascii="Poppins" w:hAnsi="Poppins" w:cs="Poppins"/>
        </w:rPr>
        <w:t xml:space="preserve">: </w:t>
      </w:r>
      <w:r w:rsidR="00BD7BA4" w:rsidRPr="002D71B0">
        <w:rPr>
          <w:rFonts w:ascii="Poppins" w:hAnsi="Poppins" w:cs="Poppins"/>
        </w:rPr>
        <w:t>The Board of Trustees</w:t>
      </w:r>
      <w:r w:rsidR="00971727" w:rsidRPr="002D71B0">
        <w:rPr>
          <w:rFonts w:ascii="Poppins" w:hAnsi="Poppins" w:cs="Poppins"/>
        </w:rPr>
        <w:t xml:space="preserve"> at </w:t>
      </w:r>
      <w:r w:rsidR="00EF121C">
        <w:rPr>
          <w:rFonts w:ascii="Poppins" w:hAnsi="Poppins" w:cs="Poppins"/>
        </w:rPr>
        <w:t xml:space="preserve">The Thames Valley Partnership    Trading as </w:t>
      </w:r>
      <w:r w:rsidR="00971727" w:rsidRPr="002D71B0">
        <w:rPr>
          <w:rFonts w:ascii="Poppins" w:hAnsi="Poppins" w:cs="Poppins"/>
        </w:rPr>
        <w:t>Hope After Harm</w:t>
      </w:r>
    </w:p>
    <w:p w14:paraId="470DB882" w14:textId="77777777" w:rsidR="00354250" w:rsidRPr="002D71B0" w:rsidRDefault="00000000">
      <w:pPr>
        <w:spacing w:after="10"/>
        <w:rPr>
          <w:rFonts w:ascii="Poppins" w:hAnsi="Poppins" w:cs="Poppins"/>
        </w:rPr>
      </w:pPr>
      <w:r w:rsidRPr="002D71B0">
        <w:rPr>
          <w:rFonts w:ascii="Poppins" w:hAnsi="Poppins" w:cs="Poppins"/>
        </w:rPr>
        <w:t xml:space="preserve"> </w:t>
      </w:r>
    </w:p>
    <w:p w14:paraId="60D07BFA" w14:textId="4DCE2FE1" w:rsidR="00B006DB" w:rsidRPr="00B006DB" w:rsidRDefault="00B006DB" w:rsidP="00B006DB">
      <w:pPr>
        <w:jc w:val="both"/>
        <w:rPr>
          <w:rFonts w:ascii="Poppins" w:eastAsia="Times New Roman" w:hAnsi="Poppins" w:cs="Poppins"/>
        </w:rPr>
      </w:pPr>
      <w:r w:rsidRPr="00B006DB">
        <w:rPr>
          <w:rFonts w:ascii="Poppins" w:hAnsi="Poppins" w:cs="Poppins"/>
        </w:rPr>
        <w:t xml:space="preserve">Thames Valley Partnership Trading as Hope After Harm is an established registered </w:t>
      </w:r>
      <w:r w:rsidRPr="00B006DB">
        <w:rPr>
          <w:rFonts w:ascii="Poppins" w:hAnsi="Poppins" w:cs="Poppins"/>
          <w:color w:val="000000" w:themeColor="text1"/>
        </w:rPr>
        <w:t xml:space="preserve">Charity </w:t>
      </w:r>
      <w:bookmarkStart w:id="0" w:name="_Hlk43221670"/>
      <w:r w:rsidRPr="00B006DB">
        <w:rPr>
          <w:rFonts w:ascii="Poppins" w:hAnsi="Poppins" w:cs="Poppins"/>
          <w:color w:val="000000" w:themeColor="text1"/>
        </w:rPr>
        <w:t>and Charitable Company Limited</w:t>
      </w:r>
      <w:bookmarkEnd w:id="0"/>
      <w:r w:rsidR="000E1721">
        <w:rPr>
          <w:rFonts w:ascii="Poppins" w:hAnsi="Poppins" w:cs="Poppins"/>
          <w:color w:val="000000" w:themeColor="text1"/>
        </w:rPr>
        <w:t xml:space="preserve"> by Guarantee of 30 </w:t>
      </w:r>
      <w:r w:rsidR="00AB56AF">
        <w:rPr>
          <w:rFonts w:ascii="Poppins" w:hAnsi="Poppins" w:cs="Poppins"/>
          <w:color w:val="000000" w:themeColor="text1"/>
        </w:rPr>
        <w:t>years’</w:t>
      </w:r>
      <w:r w:rsidRPr="00B006DB">
        <w:rPr>
          <w:rFonts w:ascii="Poppins" w:hAnsi="Poppins" w:cs="Poppins"/>
        </w:rPr>
        <w:t xml:space="preserve"> operating a range of support programmes across the Thames Valley including</w:t>
      </w:r>
      <w:r w:rsidRPr="00B006DB">
        <w:rPr>
          <w:rFonts w:ascii="Poppins" w:eastAsia="Times New Roman" w:hAnsi="Poppins" w:cs="Poppins"/>
          <w:noProof/>
          <w:lang w:val="en-US"/>
        </w:rPr>
        <w:t xml:space="preserve"> support for victims, support for the families of offenders, early interventions, work in the field of domestic abuse and direct support to offenders. We have a solid reputation in our field and a</w:t>
      </w:r>
      <w:r w:rsidR="00983B0D">
        <w:rPr>
          <w:rFonts w:ascii="Poppins" w:eastAsia="Times New Roman" w:hAnsi="Poppins" w:cs="Poppins"/>
          <w:noProof/>
          <w:lang w:val="en-US"/>
        </w:rPr>
        <w:t xml:space="preserve"> </w:t>
      </w:r>
      <w:r w:rsidRPr="00B006DB">
        <w:rPr>
          <w:rFonts w:ascii="Poppins" w:eastAsia="Times New Roman" w:hAnsi="Poppins" w:cs="Poppins"/>
          <w:noProof/>
          <w:lang w:val="en-US"/>
        </w:rPr>
        <w:t>long history of working collaboratively with the statutory, private and voluntary sectors, fostering integrated approaches across sectors to provide long-term sustainable solutions to the problems of crime and social exclusion.</w:t>
      </w:r>
      <w:r w:rsidRPr="00B006DB">
        <w:rPr>
          <w:rFonts w:ascii="Poppins" w:eastAsia="Times New Roman" w:hAnsi="Poppins" w:cs="Poppins"/>
        </w:rPr>
        <w:t xml:space="preserve"> </w:t>
      </w:r>
    </w:p>
    <w:p w14:paraId="39311371" w14:textId="5B6EF471" w:rsidR="00B006DB" w:rsidRPr="00B006DB" w:rsidRDefault="00B006DB" w:rsidP="00B006DB">
      <w:pPr>
        <w:jc w:val="both"/>
        <w:rPr>
          <w:rFonts w:ascii="Poppins" w:eastAsia="Times New Roman" w:hAnsi="Poppins" w:cs="Poppins"/>
          <w:b/>
          <w:bCs/>
          <w:noProof/>
        </w:rPr>
      </w:pPr>
      <w:r w:rsidRPr="00B006DB">
        <w:rPr>
          <w:rFonts w:ascii="Poppins" w:eastAsia="Times New Roman" w:hAnsi="Poppins" w:cs="Poppins"/>
          <w:noProof/>
        </w:rPr>
        <w:t xml:space="preserve">We are underpinned by a Board of Trustees that brings together considerable experience from Criminal Justice, Local Government, the corporate and voluntary sectors and academia and which offers invaluable insight and expertise from a variety of backgrounds including the police, probation, local authorities, work with children and families, research and the arts.  </w:t>
      </w:r>
      <w:r w:rsidRPr="00B006DB">
        <w:rPr>
          <w:rFonts w:ascii="Poppins" w:eastAsia="Times New Roman" w:hAnsi="Poppins" w:cs="Poppins"/>
          <w:b/>
          <w:bCs/>
          <w:noProof/>
        </w:rPr>
        <w:t>A solid Trustee framework is essential to our work and we now have</w:t>
      </w:r>
      <w:r w:rsidR="000F2B68">
        <w:rPr>
          <w:rFonts w:ascii="Poppins" w:eastAsia="Times New Roman" w:hAnsi="Poppins" w:cs="Poppins"/>
          <w:b/>
          <w:bCs/>
          <w:noProof/>
        </w:rPr>
        <w:t xml:space="preserve"> </w:t>
      </w:r>
      <w:r w:rsidRPr="00B006DB">
        <w:rPr>
          <w:rFonts w:ascii="Poppins" w:eastAsia="Times New Roman" w:hAnsi="Poppins" w:cs="Poppins"/>
          <w:b/>
          <w:bCs/>
          <w:noProof/>
        </w:rPr>
        <w:t xml:space="preserve">vacancies </w:t>
      </w:r>
      <w:r w:rsidRPr="00B006DB">
        <w:rPr>
          <w:rFonts w:ascii="Poppins" w:eastAsia="Times New Roman" w:hAnsi="Poppins" w:cs="Poppins"/>
          <w:b/>
          <w:bCs/>
          <w:noProof/>
          <w:color w:val="000000" w:themeColor="text1"/>
        </w:rPr>
        <w:t xml:space="preserve">for additional Trustees </w:t>
      </w:r>
      <w:r w:rsidRPr="00B006DB">
        <w:rPr>
          <w:rFonts w:ascii="Poppins" w:eastAsia="Times New Roman" w:hAnsi="Poppins" w:cs="Poppins"/>
          <w:b/>
          <w:bCs/>
          <w:noProof/>
        </w:rPr>
        <w:t>to help strengthen and fill gaps in our current Board.</w:t>
      </w:r>
      <w:r w:rsidR="000F2B68">
        <w:rPr>
          <w:rFonts w:ascii="Poppins" w:eastAsia="Times New Roman" w:hAnsi="Poppins" w:cs="Poppins"/>
          <w:b/>
          <w:bCs/>
          <w:noProof/>
        </w:rPr>
        <w:t xml:space="preserve"> </w:t>
      </w:r>
    </w:p>
    <w:p w14:paraId="43C4FAF8" w14:textId="77777777" w:rsidR="000F2B68" w:rsidRPr="000F2B68" w:rsidRDefault="000F2B68" w:rsidP="000F2B68">
      <w:pPr>
        <w:pStyle w:val="NormalWeb"/>
        <w:rPr>
          <w:rFonts w:ascii="Poppins" w:hAnsi="Poppins" w:cs="Poppins"/>
        </w:rPr>
      </w:pPr>
      <w:r w:rsidRPr="000F2B68">
        <w:rPr>
          <w:rFonts w:ascii="Poppins" w:hAnsi="Poppins" w:cs="Poppins"/>
        </w:rPr>
        <w:t xml:space="preserve">Trustees have independent control over, and legal responsibility for, a charity’s management and administration. </w:t>
      </w:r>
    </w:p>
    <w:p w14:paraId="2AE05CD4" w14:textId="77777777" w:rsidR="00B006DB" w:rsidRPr="00B006DB" w:rsidRDefault="00B006DB" w:rsidP="00B006DB">
      <w:pPr>
        <w:rPr>
          <w:rFonts w:ascii="Poppins" w:hAnsi="Poppins" w:cs="Poppins"/>
          <w:b/>
          <w:bCs/>
          <w:u w:val="single"/>
        </w:rPr>
      </w:pPr>
      <w:r w:rsidRPr="00B006DB">
        <w:rPr>
          <w:rFonts w:ascii="Poppins" w:hAnsi="Poppins" w:cs="Poppins"/>
          <w:b/>
          <w:bCs/>
          <w:u w:val="single"/>
        </w:rPr>
        <w:t>The general duties of a Trustee are as follows.</w:t>
      </w:r>
    </w:p>
    <w:p w14:paraId="7C55FDF7"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Ensuring that the organisation pursues its stated objects (purposes), as defined in its governing document, by developing and agreeing a long-term strategy</w:t>
      </w:r>
    </w:p>
    <w:p w14:paraId="09FCDB7A"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Ensuring that the organisation complies with its governing document (ie its trust deed, constitution or memorandum and articles of association), charity law, company law and any other relevant legislation or regulations</w:t>
      </w:r>
    </w:p>
    <w:p w14:paraId="447C9CC7"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 xml:space="preserve">Ensuring that the organisation applies its resources exclusively in pursuance of its charitable objects (ie the charity must not spend money on activities that </w:t>
      </w:r>
      <w:r w:rsidRPr="00B006DB">
        <w:rPr>
          <w:rFonts w:ascii="Poppins" w:hAnsi="Poppins" w:cs="Poppins"/>
        </w:rPr>
        <w:lastRenderedPageBreak/>
        <w:t>are not included in its own objects, however worthwhile or charitable those activities are) for the benefit of the public</w:t>
      </w:r>
    </w:p>
    <w:p w14:paraId="7B9766BD"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Ensuring that the organisation defines its goals and evaluates performance against agreed targets</w:t>
      </w:r>
    </w:p>
    <w:p w14:paraId="7A4D68CD"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Safeguarding the good name and values of the organisation</w:t>
      </w:r>
    </w:p>
    <w:p w14:paraId="06BA8254"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Ensuring the effective and efficient administration of the organisation, including having appropriate policies and procedures in place</w:t>
      </w:r>
    </w:p>
    <w:p w14:paraId="3C267BC0"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Ensuring the financial stability of the organisation</w:t>
      </w:r>
    </w:p>
    <w:p w14:paraId="2B66472C" w14:textId="77777777" w:rsidR="00B006DB" w:rsidRPr="00B006DB" w:rsidRDefault="00B006DB" w:rsidP="00B006DB">
      <w:pPr>
        <w:pStyle w:val="ListParagraph"/>
        <w:numPr>
          <w:ilvl w:val="0"/>
          <w:numId w:val="14"/>
        </w:numPr>
        <w:spacing w:after="120" w:line="240" w:lineRule="auto"/>
        <w:rPr>
          <w:rFonts w:ascii="Poppins" w:hAnsi="Poppins" w:cs="Poppins"/>
        </w:rPr>
      </w:pPr>
      <w:r w:rsidRPr="00B006DB">
        <w:rPr>
          <w:rFonts w:ascii="Poppins" w:hAnsi="Poppins" w:cs="Poppins"/>
        </w:rPr>
        <w:t xml:space="preserve">Following proper and formal arrangements for the appointment, supervision, support, appraisal and remuneration of the chief executive </w:t>
      </w:r>
    </w:p>
    <w:p w14:paraId="0DC53555" w14:textId="77777777" w:rsidR="00B006DB" w:rsidRPr="00B006DB" w:rsidRDefault="00B006DB" w:rsidP="00B006DB">
      <w:pPr>
        <w:jc w:val="both"/>
        <w:rPr>
          <w:rFonts w:ascii="Poppins" w:hAnsi="Poppins" w:cs="Poppins"/>
          <w:color w:val="000000" w:themeColor="text1"/>
          <w:u w:val="single"/>
        </w:rPr>
      </w:pPr>
      <w:r w:rsidRPr="00B006DB">
        <w:rPr>
          <w:rFonts w:ascii="Poppins" w:hAnsi="Poppins" w:cs="Poppins"/>
        </w:rPr>
        <w:t>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w:t>
      </w:r>
      <w:r w:rsidRPr="00B006DB">
        <w:rPr>
          <w:rFonts w:ascii="Poppins" w:hAnsi="Poppins" w:cs="Poppins"/>
          <w:b/>
          <w:bCs/>
          <w:color w:val="FF0000"/>
        </w:rPr>
        <w:t xml:space="preserve"> </w:t>
      </w:r>
      <w:r w:rsidRPr="00B006DB">
        <w:rPr>
          <w:rFonts w:ascii="Poppins" w:hAnsi="Poppins" w:cs="Poppins"/>
          <w:color w:val="000000" w:themeColor="text1"/>
        </w:rPr>
        <w:t>Ideally each Trustee will also take a particular interest in having an oversight of one specific Partnership programme, sitting on the relevant Strategy Group to support direction.  Individual experience and personal preference may have a bearing on which programme they will become more involved with.</w:t>
      </w:r>
    </w:p>
    <w:p w14:paraId="619BC941" w14:textId="77777777" w:rsidR="00B006DB" w:rsidRPr="00B006DB" w:rsidRDefault="00B006DB" w:rsidP="00B006DB">
      <w:pPr>
        <w:rPr>
          <w:rFonts w:ascii="Poppins" w:hAnsi="Poppins" w:cs="Poppins"/>
          <w:b/>
          <w:bCs/>
        </w:rPr>
      </w:pPr>
      <w:r w:rsidRPr="00B006DB">
        <w:rPr>
          <w:rFonts w:ascii="Poppins" w:hAnsi="Poppins" w:cs="Poppins"/>
          <w:b/>
          <w:bCs/>
          <w:u w:val="single"/>
        </w:rPr>
        <w:t xml:space="preserve">General Person specification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616"/>
      </w:tblGrid>
      <w:tr w:rsidR="00B006DB" w:rsidRPr="00B006DB" w14:paraId="0CD3B688" w14:textId="77777777" w:rsidTr="00E717A9">
        <w:tc>
          <w:tcPr>
            <w:tcW w:w="4957" w:type="dxa"/>
          </w:tcPr>
          <w:p w14:paraId="3084B87A"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 xml:space="preserve">A </w:t>
            </w:r>
            <w:bookmarkStart w:id="1" w:name="_Hlk43795810"/>
            <w:r w:rsidRPr="00B006DB">
              <w:rPr>
                <w:rFonts w:ascii="Poppins" w:hAnsi="Poppins" w:cs="Poppins"/>
              </w:rPr>
              <w:t>commitment to the organisation</w:t>
            </w:r>
          </w:p>
          <w:p w14:paraId="6EA5EF71"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A willingness to devote the necessary time and effort</w:t>
            </w:r>
          </w:p>
          <w:p w14:paraId="6EDFBB0F"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Strategic vision</w:t>
            </w:r>
          </w:p>
          <w:p w14:paraId="181815C7"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Good, independent judgement</w:t>
            </w:r>
          </w:p>
          <w:p w14:paraId="6F083959"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An ability to think creatively</w:t>
            </w:r>
          </w:p>
          <w:p w14:paraId="298D052B"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 xml:space="preserve">A willingness to speak their mind </w:t>
            </w:r>
            <w:bookmarkEnd w:id="1"/>
          </w:p>
          <w:p w14:paraId="220C0396"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A willingness to be involved with the organisation outside of board meetings and to support the CEO with additional commitments such as committees and mentoring programme managers.</w:t>
            </w:r>
          </w:p>
        </w:tc>
        <w:tc>
          <w:tcPr>
            <w:tcW w:w="5190" w:type="dxa"/>
          </w:tcPr>
          <w:p w14:paraId="41F2577A"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 xml:space="preserve">An understanding and acceptance of the legal duties, responsibilities and liabilities of trusteeship </w:t>
            </w:r>
          </w:p>
          <w:p w14:paraId="0912AFD3"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 xml:space="preserve">An ability to work effectively as a member of a team </w:t>
            </w:r>
          </w:p>
          <w:p w14:paraId="2CEFF696" w14:textId="77777777" w:rsidR="00B006DB" w:rsidRPr="00B006DB" w:rsidRDefault="00B006DB" w:rsidP="00B006DB">
            <w:pPr>
              <w:pStyle w:val="ListParagraph"/>
              <w:numPr>
                <w:ilvl w:val="0"/>
                <w:numId w:val="15"/>
              </w:numPr>
              <w:spacing w:after="200"/>
              <w:rPr>
                <w:rFonts w:ascii="Poppins" w:hAnsi="Poppins" w:cs="Poppins"/>
              </w:rPr>
            </w:pPr>
            <w:r w:rsidRPr="00B006DB">
              <w:rPr>
                <w:rFonts w:ascii="Poppins" w:hAnsi="Poppins" w:cs="Poppins"/>
              </w:rPr>
              <w:t>A commitment to Nolan’s seven principles of public life: selflessness, integrity, objectivity, accountability, openness, honesty and leadership.</w:t>
            </w:r>
          </w:p>
        </w:tc>
      </w:tr>
    </w:tbl>
    <w:p w14:paraId="310E314F" w14:textId="77777777" w:rsidR="00B006DB" w:rsidRPr="00B006DB" w:rsidRDefault="00B006DB" w:rsidP="00B006DB">
      <w:pPr>
        <w:spacing w:after="0" w:line="240" w:lineRule="auto"/>
        <w:rPr>
          <w:rFonts w:ascii="Poppins" w:hAnsi="Poppins" w:cs="Poppins"/>
          <w:b/>
          <w:sz w:val="24"/>
          <w:szCs w:val="24"/>
        </w:rPr>
      </w:pPr>
    </w:p>
    <w:p w14:paraId="42B355F7" w14:textId="4BCB4321" w:rsidR="00354250" w:rsidRPr="00B006DB" w:rsidRDefault="00000000" w:rsidP="006523A1">
      <w:pPr>
        <w:spacing w:after="13" w:line="246" w:lineRule="auto"/>
        <w:rPr>
          <w:rFonts w:ascii="Poppins" w:hAnsi="Poppins" w:cs="Poppins"/>
        </w:rPr>
      </w:pPr>
      <w:r w:rsidRPr="00B006DB">
        <w:rPr>
          <w:rFonts w:ascii="Poppins" w:hAnsi="Poppins" w:cs="Poppins"/>
        </w:rPr>
        <w:t xml:space="preserve">Thames Valley Partnership </w:t>
      </w:r>
      <w:r w:rsidR="00BF7211" w:rsidRPr="00B006DB">
        <w:rPr>
          <w:rFonts w:ascii="Poppins" w:hAnsi="Poppins" w:cs="Poppins"/>
        </w:rPr>
        <w:t xml:space="preserve">t/a Home after Hope </w:t>
      </w:r>
      <w:r w:rsidRPr="00B006DB">
        <w:rPr>
          <w:rFonts w:ascii="Poppins" w:hAnsi="Poppins" w:cs="Poppins"/>
        </w:rPr>
        <w:t xml:space="preserve">is an equal opportunities employer; the aim of our policy is to ensure no job applicant, employee or worker is discriminated against either directly or indirectly on the grounds of race, colour, ethnic or national origin, religious belief, sex, marital status, sexual </w:t>
      </w:r>
      <w:r w:rsidR="00387583" w:rsidRPr="00B006DB">
        <w:rPr>
          <w:rFonts w:ascii="Poppins" w:hAnsi="Poppins" w:cs="Poppins"/>
        </w:rPr>
        <w:t>o</w:t>
      </w:r>
      <w:r w:rsidRPr="00B006DB">
        <w:rPr>
          <w:rFonts w:ascii="Poppins" w:hAnsi="Poppins" w:cs="Poppins"/>
        </w:rPr>
        <w:t>rientation, gender reassignment, age or disability</w:t>
      </w:r>
      <w:r w:rsidRPr="00B006DB">
        <w:rPr>
          <w:rFonts w:ascii="Poppins" w:eastAsia="Times New Roman" w:hAnsi="Poppins" w:cs="Poppins"/>
        </w:rPr>
        <w:t xml:space="preserve">.  </w:t>
      </w:r>
      <w:r w:rsidRPr="00B006DB">
        <w:rPr>
          <w:rFonts w:ascii="Poppins" w:hAnsi="Poppins" w:cs="Poppins"/>
        </w:rPr>
        <w:t xml:space="preserve">We do not disbar applicants with criminal </w:t>
      </w:r>
      <w:r w:rsidR="000F2B68">
        <w:rPr>
          <w:rFonts w:ascii="Poppins" w:hAnsi="Poppins" w:cs="Poppins"/>
        </w:rPr>
        <w:t>c</w:t>
      </w:r>
      <w:r w:rsidRPr="00B006DB">
        <w:rPr>
          <w:rFonts w:ascii="Poppins" w:hAnsi="Poppins" w:cs="Poppins"/>
        </w:rPr>
        <w:t xml:space="preserve">onvictions and are mindful of the requirements of the Rehabilitation of Offenders Act, 1974 </w:t>
      </w:r>
      <w:r w:rsidRPr="00B006DB">
        <w:rPr>
          <w:rFonts w:ascii="Poppins" w:hAnsi="Poppins" w:cs="Poppins"/>
          <w:sz w:val="24"/>
        </w:rPr>
        <w:t xml:space="preserve"> </w:t>
      </w:r>
      <w:r w:rsidRPr="00B006DB">
        <w:rPr>
          <w:rFonts w:ascii="Poppins" w:hAnsi="Poppins" w:cs="Poppins"/>
          <w:sz w:val="24"/>
        </w:rPr>
        <w:tab/>
      </w:r>
      <w:r w:rsidRPr="00B006DB">
        <w:rPr>
          <w:rFonts w:ascii="Poppins" w:hAnsi="Poppins" w:cs="Poppins"/>
        </w:rPr>
        <w:t xml:space="preserve"> </w:t>
      </w:r>
    </w:p>
    <w:sectPr w:rsidR="00354250" w:rsidRPr="00B006DB" w:rsidSect="00CE7ADA">
      <w:pgSz w:w="11906" w:h="16838"/>
      <w:pgMar w:top="1440" w:right="1435"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595"/>
    <w:multiLevelType w:val="hybridMultilevel"/>
    <w:tmpl w:val="8FD0AA80"/>
    <w:lvl w:ilvl="0" w:tplc="F1667AF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DED67EC"/>
    <w:multiLevelType w:val="hybridMultilevel"/>
    <w:tmpl w:val="234A3C06"/>
    <w:lvl w:ilvl="0" w:tplc="BA18CBC2">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6BD7646"/>
    <w:multiLevelType w:val="hybridMultilevel"/>
    <w:tmpl w:val="54AA98A2"/>
    <w:lvl w:ilvl="0" w:tplc="70DACD2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9536E"/>
    <w:multiLevelType w:val="hybridMultilevel"/>
    <w:tmpl w:val="B57E2022"/>
    <w:lvl w:ilvl="0" w:tplc="638432D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1DC53432"/>
    <w:multiLevelType w:val="hybridMultilevel"/>
    <w:tmpl w:val="7248AB42"/>
    <w:lvl w:ilvl="0" w:tplc="6CD226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B398C"/>
    <w:multiLevelType w:val="hybridMultilevel"/>
    <w:tmpl w:val="CA34C4D0"/>
    <w:lvl w:ilvl="0" w:tplc="F4B089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622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4B8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24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4C8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67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670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85F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0C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F06BFA"/>
    <w:multiLevelType w:val="hybridMultilevel"/>
    <w:tmpl w:val="55C85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B10649"/>
    <w:multiLevelType w:val="hybridMultilevel"/>
    <w:tmpl w:val="7B0632FA"/>
    <w:lvl w:ilvl="0" w:tplc="BA18CBC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5172E"/>
    <w:multiLevelType w:val="hybridMultilevel"/>
    <w:tmpl w:val="D3F05224"/>
    <w:lvl w:ilvl="0" w:tplc="BA18CB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E57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60D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A05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8D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2AC2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AEC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C22F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86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9D24CD"/>
    <w:multiLevelType w:val="hybridMultilevel"/>
    <w:tmpl w:val="0F8CD340"/>
    <w:lvl w:ilvl="0" w:tplc="BA18CBC2">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A56B17"/>
    <w:multiLevelType w:val="hybridMultilevel"/>
    <w:tmpl w:val="3140B1DE"/>
    <w:lvl w:ilvl="0" w:tplc="BA18CBC2">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1006A36"/>
    <w:multiLevelType w:val="hybridMultilevel"/>
    <w:tmpl w:val="0062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C37D81"/>
    <w:multiLevelType w:val="hybridMultilevel"/>
    <w:tmpl w:val="5F56C178"/>
    <w:lvl w:ilvl="0" w:tplc="366EA89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15:restartNumberingAfterBreak="0">
    <w:nsid w:val="74E42940"/>
    <w:multiLevelType w:val="hybridMultilevel"/>
    <w:tmpl w:val="89480880"/>
    <w:lvl w:ilvl="0" w:tplc="70DACD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2B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34FD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E0CA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883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68C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CC4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265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AD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8855CD"/>
    <w:multiLevelType w:val="hybridMultilevel"/>
    <w:tmpl w:val="AB045C36"/>
    <w:lvl w:ilvl="0" w:tplc="0D76C6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C0E4C">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1C225C">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B6CB2E">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46560">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0D236">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4069A">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0BF28">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D63C64">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8327731">
    <w:abstractNumId w:val="8"/>
  </w:num>
  <w:num w:numId="2" w16cid:durableId="1134980476">
    <w:abstractNumId w:val="14"/>
  </w:num>
  <w:num w:numId="3" w16cid:durableId="2099906845">
    <w:abstractNumId w:val="5"/>
  </w:num>
  <w:num w:numId="4" w16cid:durableId="313030676">
    <w:abstractNumId w:val="13"/>
  </w:num>
  <w:num w:numId="5" w16cid:durableId="1400130709">
    <w:abstractNumId w:val="7"/>
  </w:num>
  <w:num w:numId="6" w16cid:durableId="1395079993">
    <w:abstractNumId w:val="4"/>
  </w:num>
  <w:num w:numId="7" w16cid:durableId="837767889">
    <w:abstractNumId w:val="10"/>
  </w:num>
  <w:num w:numId="8" w16cid:durableId="1976720730">
    <w:abstractNumId w:val="12"/>
  </w:num>
  <w:num w:numId="9" w16cid:durableId="1122186506">
    <w:abstractNumId w:val="0"/>
  </w:num>
  <w:num w:numId="10" w16cid:durableId="1721199473">
    <w:abstractNumId w:val="1"/>
  </w:num>
  <w:num w:numId="11" w16cid:durableId="646937248">
    <w:abstractNumId w:val="3"/>
  </w:num>
  <w:num w:numId="12" w16cid:durableId="1271669193">
    <w:abstractNumId w:val="9"/>
  </w:num>
  <w:num w:numId="13" w16cid:durableId="1030840556">
    <w:abstractNumId w:val="2"/>
  </w:num>
  <w:num w:numId="14" w16cid:durableId="946233688">
    <w:abstractNumId w:val="6"/>
  </w:num>
  <w:num w:numId="15" w16cid:durableId="1039622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50"/>
    <w:rsid w:val="000E1721"/>
    <w:rsid w:val="000F2B68"/>
    <w:rsid w:val="00246CE3"/>
    <w:rsid w:val="002D71B0"/>
    <w:rsid w:val="00354250"/>
    <w:rsid w:val="00375CF5"/>
    <w:rsid w:val="00387583"/>
    <w:rsid w:val="004225C8"/>
    <w:rsid w:val="00632F6B"/>
    <w:rsid w:val="006523A1"/>
    <w:rsid w:val="00653299"/>
    <w:rsid w:val="006D7395"/>
    <w:rsid w:val="007F7F91"/>
    <w:rsid w:val="00961619"/>
    <w:rsid w:val="00971727"/>
    <w:rsid w:val="00983B0D"/>
    <w:rsid w:val="00AB56AF"/>
    <w:rsid w:val="00B006DB"/>
    <w:rsid w:val="00B916E8"/>
    <w:rsid w:val="00BC3B2C"/>
    <w:rsid w:val="00BD7BA4"/>
    <w:rsid w:val="00BF7211"/>
    <w:rsid w:val="00C52202"/>
    <w:rsid w:val="00CE7ADA"/>
    <w:rsid w:val="00DE1CA4"/>
    <w:rsid w:val="00EF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F10CB"/>
  <w15:docId w15:val="{0E6D60FB-3EF6-466F-B095-D04546EB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B916E8"/>
    <w:pPr>
      <w:ind w:left="720"/>
      <w:contextualSpacing/>
    </w:pPr>
  </w:style>
  <w:style w:type="table" w:styleId="TableGrid">
    <w:name w:val="Table Grid"/>
    <w:basedOn w:val="TableNormal"/>
    <w:uiPriority w:val="39"/>
    <w:rsid w:val="00B006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2B68"/>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55E5.D76987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Townsend</dc:creator>
  <cp:keywords/>
  <cp:lastModifiedBy>Sian Mason</cp:lastModifiedBy>
  <cp:revision>2</cp:revision>
  <cp:lastPrinted>2024-02-12T09:38:00Z</cp:lastPrinted>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d51a6ce1131ea9957c7b69c8d134f33ca5a0225bb47a027b6b073e2bbc19f956</vt:lpwstr>
  </property>
</Properties>
</file>